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24" w:rsidRDefault="00227424" w:rsidP="00227424">
      <w:pPr>
        <w:jc w:val="center"/>
        <w:rPr>
          <w:b/>
          <w:bCs/>
          <w:sz w:val="28"/>
          <w:szCs w:val="28"/>
        </w:rPr>
      </w:pPr>
    </w:p>
    <w:p w:rsidR="00227424" w:rsidRPr="00227424" w:rsidRDefault="00227424" w:rsidP="00227424">
      <w:pPr>
        <w:jc w:val="center"/>
        <w:rPr>
          <w:b/>
          <w:bCs/>
          <w:sz w:val="28"/>
          <w:szCs w:val="28"/>
          <w:u w:val="single"/>
        </w:rPr>
      </w:pPr>
      <w:r w:rsidRPr="00227424">
        <w:rPr>
          <w:rFonts w:hint="cs"/>
          <w:b/>
          <w:bCs/>
          <w:sz w:val="28"/>
          <w:szCs w:val="28"/>
          <w:u w:val="single"/>
          <w:cs/>
        </w:rPr>
        <w:t>KENDRIYA VIDYALAYA VYASANAGAR</w:t>
      </w:r>
    </w:p>
    <w:p w:rsidR="00227424" w:rsidRPr="00227424" w:rsidRDefault="00084919" w:rsidP="00227424">
      <w:pPr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cs/>
        </w:rPr>
        <w:t>RESULT SUMMARY (2019-20</w:t>
      </w:r>
      <w:bookmarkStart w:id="0" w:name="_GoBack"/>
      <w:bookmarkEnd w:id="0"/>
      <w:r w:rsidR="00227424" w:rsidRPr="00227424">
        <w:rPr>
          <w:rFonts w:hint="cs"/>
          <w:b/>
          <w:bCs/>
          <w:sz w:val="28"/>
          <w:szCs w:val="28"/>
          <w:u w:val="single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27424" w:rsidTr="009E0AAB">
        <w:tc>
          <w:tcPr>
            <w:tcW w:w="1915" w:type="dxa"/>
            <w:vMerge w:val="restart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S.NO.</w:t>
            </w:r>
          </w:p>
        </w:tc>
        <w:tc>
          <w:tcPr>
            <w:tcW w:w="1915" w:type="dxa"/>
            <w:vMerge w:val="restart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CLASS</w:t>
            </w:r>
          </w:p>
        </w:tc>
        <w:tc>
          <w:tcPr>
            <w:tcW w:w="3830" w:type="dxa"/>
            <w:gridSpan w:val="2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NO.OF STUDENTS</w:t>
            </w:r>
          </w:p>
        </w:tc>
        <w:tc>
          <w:tcPr>
            <w:tcW w:w="1916" w:type="dxa"/>
            <w:vMerge w:val="restart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PASS %</w:t>
            </w:r>
          </w:p>
        </w:tc>
      </w:tr>
      <w:tr w:rsidR="00227424" w:rsidTr="00227424">
        <w:tc>
          <w:tcPr>
            <w:tcW w:w="1915" w:type="dxa"/>
            <w:vMerge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APPEARED</w:t>
            </w:r>
          </w:p>
        </w:tc>
        <w:tc>
          <w:tcPr>
            <w:tcW w:w="1915" w:type="dxa"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PASSED</w:t>
            </w:r>
          </w:p>
        </w:tc>
        <w:tc>
          <w:tcPr>
            <w:tcW w:w="1916" w:type="dxa"/>
            <w:vMerge/>
          </w:tcPr>
          <w:p w:rsidR="00227424" w:rsidRDefault="00227424" w:rsidP="002274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84919" w:rsidTr="00227424">
        <w:tc>
          <w:tcPr>
            <w:tcW w:w="1915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1.</w:t>
            </w:r>
          </w:p>
        </w:tc>
        <w:tc>
          <w:tcPr>
            <w:tcW w:w="1915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I</w:t>
            </w:r>
          </w:p>
        </w:tc>
        <w:tc>
          <w:tcPr>
            <w:tcW w:w="1915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47</w:t>
            </w:r>
          </w:p>
        </w:tc>
        <w:tc>
          <w:tcPr>
            <w:tcW w:w="1915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47</w:t>
            </w:r>
          </w:p>
        </w:tc>
        <w:tc>
          <w:tcPr>
            <w:tcW w:w="1916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100%</w:t>
            </w:r>
          </w:p>
        </w:tc>
      </w:tr>
      <w:tr w:rsidR="00084919" w:rsidTr="00227424">
        <w:tc>
          <w:tcPr>
            <w:tcW w:w="1915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2.</w:t>
            </w:r>
          </w:p>
        </w:tc>
        <w:tc>
          <w:tcPr>
            <w:tcW w:w="1915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II</w:t>
            </w:r>
          </w:p>
        </w:tc>
        <w:tc>
          <w:tcPr>
            <w:tcW w:w="1915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50</w:t>
            </w:r>
          </w:p>
        </w:tc>
        <w:tc>
          <w:tcPr>
            <w:tcW w:w="1915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50</w:t>
            </w:r>
          </w:p>
        </w:tc>
        <w:tc>
          <w:tcPr>
            <w:tcW w:w="1916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100%</w:t>
            </w:r>
          </w:p>
        </w:tc>
      </w:tr>
      <w:tr w:rsidR="00084919" w:rsidTr="00227424">
        <w:tc>
          <w:tcPr>
            <w:tcW w:w="1915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3.</w:t>
            </w:r>
          </w:p>
        </w:tc>
        <w:tc>
          <w:tcPr>
            <w:tcW w:w="1915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III</w:t>
            </w:r>
          </w:p>
        </w:tc>
        <w:tc>
          <w:tcPr>
            <w:tcW w:w="1915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51</w:t>
            </w:r>
          </w:p>
        </w:tc>
        <w:tc>
          <w:tcPr>
            <w:tcW w:w="1915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51</w:t>
            </w:r>
          </w:p>
        </w:tc>
        <w:tc>
          <w:tcPr>
            <w:tcW w:w="1916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100%</w:t>
            </w:r>
          </w:p>
        </w:tc>
      </w:tr>
      <w:tr w:rsidR="00084919" w:rsidTr="00227424">
        <w:tc>
          <w:tcPr>
            <w:tcW w:w="1915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4.</w:t>
            </w:r>
          </w:p>
        </w:tc>
        <w:tc>
          <w:tcPr>
            <w:tcW w:w="1915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IV</w:t>
            </w:r>
          </w:p>
        </w:tc>
        <w:tc>
          <w:tcPr>
            <w:tcW w:w="1915" w:type="dxa"/>
          </w:tcPr>
          <w:p w:rsidR="00084919" w:rsidRPr="00084919" w:rsidRDefault="00084919" w:rsidP="00084919">
            <w:pPr>
              <w:jc w:val="center"/>
              <w:rPr>
                <w:rFonts w:cs="Nirmala UI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42</w:t>
            </w:r>
          </w:p>
        </w:tc>
        <w:tc>
          <w:tcPr>
            <w:tcW w:w="1915" w:type="dxa"/>
          </w:tcPr>
          <w:p w:rsidR="00084919" w:rsidRPr="00084919" w:rsidRDefault="00084919" w:rsidP="00084919">
            <w:pPr>
              <w:jc w:val="center"/>
              <w:rPr>
                <w:rFonts w:cs="Nirmala UI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42</w:t>
            </w:r>
          </w:p>
        </w:tc>
        <w:tc>
          <w:tcPr>
            <w:tcW w:w="1916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100%</w:t>
            </w:r>
          </w:p>
        </w:tc>
      </w:tr>
      <w:tr w:rsidR="00084919" w:rsidTr="00227424">
        <w:tc>
          <w:tcPr>
            <w:tcW w:w="1915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5.</w:t>
            </w:r>
          </w:p>
        </w:tc>
        <w:tc>
          <w:tcPr>
            <w:tcW w:w="1915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V</w:t>
            </w:r>
          </w:p>
        </w:tc>
        <w:tc>
          <w:tcPr>
            <w:tcW w:w="1915" w:type="dxa"/>
          </w:tcPr>
          <w:p w:rsidR="00084919" w:rsidRPr="00084919" w:rsidRDefault="00084919" w:rsidP="00084919">
            <w:pPr>
              <w:jc w:val="center"/>
              <w:rPr>
                <w:rFonts w:cs="Nirmala UI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48</w:t>
            </w:r>
          </w:p>
        </w:tc>
        <w:tc>
          <w:tcPr>
            <w:tcW w:w="1915" w:type="dxa"/>
          </w:tcPr>
          <w:p w:rsidR="00084919" w:rsidRPr="00084919" w:rsidRDefault="00084919" w:rsidP="00084919">
            <w:pPr>
              <w:jc w:val="center"/>
              <w:rPr>
                <w:rFonts w:cs="Nirmala UI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48</w:t>
            </w:r>
          </w:p>
        </w:tc>
        <w:tc>
          <w:tcPr>
            <w:tcW w:w="1916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100%</w:t>
            </w:r>
          </w:p>
        </w:tc>
      </w:tr>
      <w:tr w:rsidR="00084919" w:rsidTr="00227424">
        <w:tc>
          <w:tcPr>
            <w:tcW w:w="1915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6.</w:t>
            </w:r>
          </w:p>
        </w:tc>
        <w:tc>
          <w:tcPr>
            <w:tcW w:w="1915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VI</w:t>
            </w:r>
          </w:p>
        </w:tc>
        <w:tc>
          <w:tcPr>
            <w:tcW w:w="1915" w:type="dxa"/>
          </w:tcPr>
          <w:p w:rsidR="00084919" w:rsidRPr="00084919" w:rsidRDefault="00084919" w:rsidP="00084919">
            <w:pPr>
              <w:jc w:val="center"/>
              <w:rPr>
                <w:rFonts w:cs="Nirmala UI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40</w:t>
            </w:r>
          </w:p>
        </w:tc>
        <w:tc>
          <w:tcPr>
            <w:tcW w:w="1915" w:type="dxa"/>
          </w:tcPr>
          <w:p w:rsidR="00084919" w:rsidRPr="00084919" w:rsidRDefault="00084919" w:rsidP="00084919">
            <w:pPr>
              <w:jc w:val="center"/>
              <w:rPr>
                <w:rFonts w:cs="Nirmala UI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40</w:t>
            </w:r>
          </w:p>
        </w:tc>
        <w:tc>
          <w:tcPr>
            <w:tcW w:w="1916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100%</w:t>
            </w:r>
          </w:p>
        </w:tc>
      </w:tr>
      <w:tr w:rsidR="00084919" w:rsidTr="00227424">
        <w:tc>
          <w:tcPr>
            <w:tcW w:w="1915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7.</w:t>
            </w:r>
          </w:p>
        </w:tc>
        <w:tc>
          <w:tcPr>
            <w:tcW w:w="1915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VII</w:t>
            </w:r>
          </w:p>
        </w:tc>
        <w:tc>
          <w:tcPr>
            <w:tcW w:w="1915" w:type="dxa"/>
          </w:tcPr>
          <w:p w:rsidR="00084919" w:rsidRPr="00084919" w:rsidRDefault="00084919" w:rsidP="00084919">
            <w:pPr>
              <w:jc w:val="center"/>
              <w:rPr>
                <w:rFonts w:cs="Nirmala UI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44</w:t>
            </w:r>
          </w:p>
        </w:tc>
        <w:tc>
          <w:tcPr>
            <w:tcW w:w="1915" w:type="dxa"/>
          </w:tcPr>
          <w:p w:rsidR="00084919" w:rsidRPr="00084919" w:rsidRDefault="00084919" w:rsidP="00084919">
            <w:pPr>
              <w:jc w:val="center"/>
              <w:rPr>
                <w:rFonts w:cs="Nirmala UI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44</w:t>
            </w:r>
          </w:p>
        </w:tc>
        <w:tc>
          <w:tcPr>
            <w:tcW w:w="1916" w:type="dxa"/>
          </w:tcPr>
          <w:p w:rsidR="00084919" w:rsidRDefault="00084919" w:rsidP="00084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100%</w:t>
            </w:r>
          </w:p>
        </w:tc>
      </w:tr>
      <w:tr w:rsidR="00084919" w:rsidTr="00227424">
        <w:tc>
          <w:tcPr>
            <w:tcW w:w="1915" w:type="dxa"/>
          </w:tcPr>
          <w:p w:rsidR="00084919" w:rsidRDefault="00084919" w:rsidP="00084919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915" w:type="dxa"/>
          </w:tcPr>
          <w:p w:rsidR="00084919" w:rsidRPr="00084919" w:rsidRDefault="00084919" w:rsidP="00084919">
            <w:pPr>
              <w:jc w:val="center"/>
              <w:rPr>
                <w:rFonts w:cs="Nirmala UI" w:hint="cs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VIII</w:t>
            </w:r>
          </w:p>
        </w:tc>
        <w:tc>
          <w:tcPr>
            <w:tcW w:w="1915" w:type="dxa"/>
          </w:tcPr>
          <w:p w:rsidR="00084919" w:rsidRPr="00084919" w:rsidRDefault="00084919" w:rsidP="00084919">
            <w:pPr>
              <w:jc w:val="center"/>
              <w:rPr>
                <w:rFonts w:cs="Nirmala UI" w:hint="cs"/>
                <w:b/>
                <w:bCs/>
                <w:sz w:val="28"/>
                <w:szCs w:val="28"/>
                <w:cs/>
              </w:rPr>
            </w:pPr>
            <w:r>
              <w:rPr>
                <w:rFonts w:cs="Nirmala UI" w:hint="cs"/>
                <w:b/>
                <w:bCs/>
                <w:sz w:val="28"/>
                <w:szCs w:val="28"/>
                <w:cs/>
              </w:rPr>
              <w:t>43</w:t>
            </w:r>
          </w:p>
        </w:tc>
        <w:tc>
          <w:tcPr>
            <w:tcW w:w="1915" w:type="dxa"/>
          </w:tcPr>
          <w:p w:rsidR="00084919" w:rsidRPr="00084919" w:rsidRDefault="00084919" w:rsidP="00084919">
            <w:pPr>
              <w:jc w:val="center"/>
              <w:rPr>
                <w:rFonts w:cs="Nirmala UI" w:hint="cs"/>
                <w:b/>
                <w:bCs/>
                <w:sz w:val="28"/>
                <w:szCs w:val="28"/>
                <w:cs/>
              </w:rPr>
            </w:pPr>
            <w:r>
              <w:rPr>
                <w:rFonts w:cs="Nirmala UI" w:hint="cs"/>
                <w:b/>
                <w:bCs/>
                <w:sz w:val="28"/>
                <w:szCs w:val="28"/>
                <w:cs/>
              </w:rPr>
              <w:t>43</w:t>
            </w:r>
          </w:p>
        </w:tc>
        <w:tc>
          <w:tcPr>
            <w:tcW w:w="1916" w:type="dxa"/>
          </w:tcPr>
          <w:p w:rsidR="00084919" w:rsidRDefault="00084919" w:rsidP="00084919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100%</w:t>
            </w:r>
          </w:p>
        </w:tc>
      </w:tr>
    </w:tbl>
    <w:p w:rsidR="00227424" w:rsidRDefault="00227424" w:rsidP="00227424">
      <w:pPr>
        <w:jc w:val="center"/>
        <w:rPr>
          <w:b/>
          <w:bCs/>
          <w:sz w:val="28"/>
          <w:szCs w:val="28"/>
        </w:rPr>
      </w:pPr>
    </w:p>
    <w:p w:rsidR="00227424" w:rsidRDefault="00227424" w:rsidP="00227424">
      <w:pPr>
        <w:jc w:val="center"/>
        <w:rPr>
          <w:b/>
          <w:bCs/>
          <w:sz w:val="28"/>
          <w:szCs w:val="28"/>
        </w:rPr>
      </w:pPr>
    </w:p>
    <w:p w:rsidR="00227424" w:rsidRDefault="00227424" w:rsidP="00227424">
      <w:pPr>
        <w:jc w:val="center"/>
        <w:rPr>
          <w:b/>
          <w:bCs/>
          <w:sz w:val="28"/>
          <w:szCs w:val="28"/>
        </w:rPr>
      </w:pPr>
    </w:p>
    <w:p w:rsidR="00227424" w:rsidRDefault="00227424" w:rsidP="00227424">
      <w:pPr>
        <w:jc w:val="center"/>
        <w:rPr>
          <w:b/>
          <w:bCs/>
          <w:sz w:val="28"/>
          <w:szCs w:val="28"/>
        </w:rPr>
      </w:pPr>
    </w:p>
    <w:p w:rsidR="00227424" w:rsidRPr="00227424" w:rsidRDefault="00227424" w:rsidP="00227424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EXAM I/C</w:t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ab/>
        <w:t>PRINCIPAL</w:t>
      </w:r>
    </w:p>
    <w:sectPr w:rsidR="00227424" w:rsidRPr="00227424" w:rsidSect="00227424">
      <w:pgSz w:w="12240" w:h="15840"/>
      <w:pgMar w:top="5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7424"/>
    <w:rsid w:val="00084919"/>
    <w:rsid w:val="00162A3D"/>
    <w:rsid w:val="00227424"/>
    <w:rsid w:val="00E8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2DCB"/>
  <w15:docId w15:val="{C8CE1081-A1BB-4EAE-BC3C-5FD96FC3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4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ARUN</cp:lastModifiedBy>
  <cp:revision>4</cp:revision>
  <cp:lastPrinted>2019-03-26T03:16:00Z</cp:lastPrinted>
  <dcterms:created xsi:type="dcterms:W3CDTF">2019-03-26T03:17:00Z</dcterms:created>
  <dcterms:modified xsi:type="dcterms:W3CDTF">2020-07-18T08:47:00Z</dcterms:modified>
</cp:coreProperties>
</file>